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EC" w:rsidRDefault="00FE1AEC" w:rsidP="00FE1AE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Calibri" w:eastAsia="Times New Roman" w:hAnsi="Calibri" w:cs="Calibri"/>
          <w:color w:val="1D2228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eastAsia="es-AR"/>
        </w:rPr>
        <w:t>PROGRAMA DESARROLLO E INVESTIGACION</w:t>
      </w:r>
    </w:p>
    <w:p w:rsidR="00FE1AEC" w:rsidRPr="007A1DC8" w:rsidRDefault="00FE1AEC" w:rsidP="00FE1AE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b/>
          <w:color w:val="1D2228"/>
          <w:sz w:val="24"/>
          <w:szCs w:val="24"/>
          <w:lang w:eastAsia="es-AR"/>
        </w:rPr>
      </w:pP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Descripción del Programa</w:t>
      </w:r>
    </w:p>
    <w:p w:rsidR="008C1076" w:rsidRPr="008C1076" w:rsidRDefault="00FE1AEC" w:rsidP="00105F0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8C107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Misión </w:t>
      </w:r>
      <w:r w:rsidR="00B26AFD">
        <w:rPr>
          <w:rFonts w:eastAsia="Times New Roman" w:cstheme="minorHAnsi"/>
          <w:color w:val="1D2228"/>
          <w:sz w:val="24"/>
          <w:szCs w:val="24"/>
          <w:lang w:eastAsia="es-AR"/>
        </w:rPr>
        <w:t>“</w:t>
      </w:r>
      <w:r w:rsidR="008C1076" w:rsidRPr="008C1076">
        <w:rPr>
          <w:rFonts w:cstheme="minorHAnsi"/>
          <w:sz w:val="24"/>
          <w:szCs w:val="24"/>
        </w:rPr>
        <w:t>Optimizar los sistemas de control de plagas existentes a la vez de investigar, desarrollar y validar nuevos sistemas operativos de campo, de cría y esterilización de insectos plaga y de vectores, y nuevos controladores biológicos para transferir a las diferentes áreas a escala masiva</w:t>
      </w:r>
      <w:r w:rsidR="00B26AFD">
        <w:rPr>
          <w:rFonts w:cstheme="minorHAnsi"/>
          <w:sz w:val="24"/>
          <w:szCs w:val="24"/>
        </w:rPr>
        <w:t>”</w:t>
      </w:r>
      <w:r w:rsidR="008C1076" w:rsidRPr="008C1076">
        <w:rPr>
          <w:rFonts w:cstheme="minorHAnsi"/>
          <w:sz w:val="24"/>
          <w:szCs w:val="24"/>
        </w:rPr>
        <w:t xml:space="preserve">. </w:t>
      </w:r>
    </w:p>
    <w:p w:rsidR="008C1076" w:rsidRPr="008C1076" w:rsidRDefault="00B26AFD" w:rsidP="00105F0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Objetivos</w:t>
      </w:r>
    </w:p>
    <w:p w:rsidR="008C1076" w:rsidRPr="008C1076" w:rsidRDefault="008C1076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8C107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Planificar, dirigir y coordinar las actividades de investigación y desarrollo, para crear procedimi</w:t>
      </w:r>
      <w:r w:rsidR="00E51DC8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entos, productos, conocimientos y tecnologías </w:t>
      </w:r>
      <w:r w:rsidRPr="008C107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o modos de utilización de materiales nuevos o perfeccionados.</w:t>
      </w:r>
    </w:p>
    <w:p w:rsidR="008C1076" w:rsidRPr="008C1076" w:rsidRDefault="008C1076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8C107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Desarrollar sistemas de control de insectos plaga y vectores de enfermedades que permi</w:t>
      </w:r>
      <w:r w:rsidR="00E51DC8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tan su supresión o erradicación, en corma integrada con organismos  a nivel provincial, nacional es internacional.</w:t>
      </w:r>
    </w:p>
    <w:p w:rsidR="008C1076" w:rsidRPr="008C1076" w:rsidRDefault="008C1076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8C107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Coordinar acciones de desarrollo e investigación con organismos de salud </w:t>
      </w:r>
      <w:r w:rsidR="00B26AFD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y medio ambiente </w:t>
      </w:r>
      <w:r w:rsidR="00E51DC8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a nivel provincial, nacional es internacional, </w:t>
      </w:r>
      <w:r w:rsidRPr="008C107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para permitir el hallazgo de sistemas de control de vectores.</w:t>
      </w:r>
    </w:p>
    <w:p w:rsidR="00B26AFD" w:rsidRPr="00DF52D3" w:rsidRDefault="008C1076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B26AFD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Coordinar estudios económicos de costo/beneficio para determinar las variables </w:t>
      </w:r>
      <w:r w:rsidRPr="00DF52D3">
        <w:rPr>
          <w:rFonts w:eastAsia="Times New Roman" w:cstheme="minorHAnsi"/>
          <w:color w:val="000000"/>
          <w:sz w:val="24"/>
          <w:szCs w:val="24"/>
          <w:lang w:eastAsia="es-AR"/>
        </w:rPr>
        <w:t>que requieran desarrollo y mejora, para optimizar los recursos</w:t>
      </w:r>
    </w:p>
    <w:p w:rsidR="00FE1AEC" w:rsidRPr="00DF52D3" w:rsidRDefault="00FE1AEC" w:rsidP="00105F0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FE1AEC">
        <w:rPr>
          <w:rFonts w:eastAsia="Times New Roman" w:cstheme="minorHAnsi"/>
          <w:color w:val="000000"/>
          <w:sz w:val="24"/>
          <w:szCs w:val="24"/>
          <w:lang w:eastAsia="es-AR"/>
        </w:rPr>
        <w:t>Justificación</w:t>
      </w:r>
    </w:p>
    <w:p w:rsidR="00DF52D3" w:rsidRPr="00DF52D3" w:rsidRDefault="00DF52D3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La dinámica de incidencia de plagas y vectores en el mundo, afecta e impacta directamente en la Provincia de Mendoza tanto en la sanidad agropecuaria como en la salud del ser humano.</w:t>
      </w:r>
    </w:p>
    <w:p w:rsidR="00DF52D3" w:rsidRPr="00DF52D3" w:rsidRDefault="00DF52D3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Los sistemas de predicción y análisis de riesgo</w:t>
      </w:r>
      <w:r w:rsidR="00311C4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de plagas y enfermedades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permanentemente generan desafíos sobre la necesidad de disponer de sistemas eficientes</w:t>
      </w:r>
      <w:r w:rsidR="00311C4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de control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, de bajo costo, con elevado aporte de tecnología  y aplicables en áreas amplias. </w:t>
      </w:r>
    </w:p>
    <w:p w:rsidR="00DF52D3" w:rsidRPr="00DF52D3" w:rsidRDefault="00DF52D3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Por otra parte la aparición inesperada de enfermedades, epidemias y pandemias, plantean un escenario de imprevisibilidad que compromete seriamente los sistemas económicos y productivos de todas las sociedades. </w:t>
      </w:r>
    </w:p>
    <w:p w:rsidR="00DF52D3" w:rsidRPr="00DF52D3" w:rsidRDefault="000115CF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lastRenderedPageBreak/>
        <w:t>E</w:t>
      </w:r>
      <w:r w:rsidR="00DF52D3"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 continuo desarrollo tecnológico en muchas actividades operativas, involucran operaciones que actualmente desarrolla el ISCAMEN en los diferentes programas de acción.</w:t>
      </w:r>
    </w:p>
    <w:p w:rsidR="00B26AFD" w:rsidRPr="00105F06" w:rsidRDefault="00DF52D3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La exploración de nuevos</w:t>
      </w:r>
      <w:r w:rsidR="000115C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sistemas operativos de campo, 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 cría y esterilización de insectos plaga, cont</w:t>
      </w:r>
      <w:r w:rsidR="000115C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roladores biológicos y vectores; 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es una necesidad para optimizar recursos cada vez más limitados.</w:t>
      </w:r>
    </w:p>
    <w:p w:rsidR="000115CF" w:rsidRPr="000115CF" w:rsidRDefault="000115CF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R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esulta imprescindible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disponer un plan 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de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investigación, 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desarrollo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y validación de tecnologías de control de plagas y enfermedades, 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vinculado </w:t>
      </w:r>
      <w:r w:rsidR="00E51DC8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e integrado </w:t>
      </w:r>
      <w:r w:rsidRPr="00DF52D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a </w:t>
      </w:r>
      <w:r w:rsidR="00E51DC8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otros </w:t>
      </w:r>
      <w:r w:rsidRPr="00105F0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organismos sanitarios y fitosanitarios a nivel provincial, nacional e internacional, en f</w:t>
      </w:r>
      <w:r w:rsidR="00E51DC8" w:rsidRPr="00105F0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orma coordinada y colaborativa (Organismos Nacionales como SENASA, INTA, CITEF, CNEA, Universidades, Municipios, Organismos Internacionales como AIEA, FAO, SENASA Perú, SENASAG Bolivia, SAG Chile, USDA</w:t>
      </w:r>
      <w:r w:rsidR="00E5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-APHIS Estados Unidos, </w:t>
      </w:r>
      <w:proofErr w:type="spellStart"/>
      <w:r w:rsidR="00E51DC8">
        <w:rPr>
          <w:rFonts w:eastAsia="Times New Roman" w:cstheme="minorHAnsi"/>
          <w:color w:val="1D2228"/>
          <w:sz w:val="24"/>
          <w:szCs w:val="24"/>
          <w:lang w:eastAsia="es-AR"/>
        </w:rPr>
        <w:t>etc</w:t>
      </w:r>
      <w:proofErr w:type="spellEnd"/>
      <w:r w:rsidR="00E51DC8">
        <w:rPr>
          <w:rFonts w:eastAsia="Times New Roman" w:cstheme="minorHAnsi"/>
          <w:color w:val="1D2228"/>
          <w:sz w:val="24"/>
          <w:szCs w:val="24"/>
          <w:lang w:eastAsia="es-AR"/>
        </w:rPr>
        <w:t>)</w:t>
      </w:r>
    </w:p>
    <w:p w:rsidR="000115CF" w:rsidRPr="007A1DC8" w:rsidRDefault="000115CF" w:rsidP="000115C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b/>
          <w:color w:val="1D2228"/>
          <w:sz w:val="24"/>
          <w:szCs w:val="24"/>
          <w:lang w:eastAsia="es-AR"/>
        </w:rPr>
      </w:pPr>
      <w:bookmarkStart w:id="0" w:name="_GoBack"/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Resumen de actividades realizadas</w:t>
      </w:r>
    </w:p>
    <w:bookmarkEnd w:id="0"/>
    <w:p w:rsidR="000115CF" w:rsidRPr="00105F06" w:rsidRDefault="000115CF" w:rsidP="00105F0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000000"/>
          <w:sz w:val="24"/>
          <w:szCs w:val="24"/>
          <w:lang w:eastAsia="es-AR"/>
        </w:rPr>
        <w:t>Período considerado: desde el 01 de Enero de 2020 al 31 de Diciembre de 2020.</w:t>
      </w:r>
    </w:p>
    <w:p w:rsidR="001A52A3" w:rsidRPr="00105F06" w:rsidRDefault="000115CF" w:rsidP="00105F0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000000"/>
          <w:sz w:val="24"/>
          <w:szCs w:val="24"/>
          <w:lang w:eastAsia="es-AR"/>
        </w:rPr>
        <w:t>Líneas de trabajo</w:t>
      </w:r>
      <w:r w:rsidR="00841B2B" w:rsidRPr="00105F06">
        <w:rPr>
          <w:rFonts w:eastAsia="Times New Roman" w:cstheme="minorHAnsi"/>
          <w:color w:val="000000"/>
          <w:sz w:val="24"/>
          <w:szCs w:val="24"/>
          <w:lang w:eastAsia="es-AR"/>
        </w:rPr>
        <w:t xml:space="preserve">: todas las líneas de trabajo relacionadas al desarrollo de tecnologías para el control de Drosophila suzukii, Lobesia botrana y Aedes aegypti se encuentran seriamente afectadas por la pandemia, fundamentalmente por las restricciones en la disponibilidad de recursos humanos, además de las limitantes </w:t>
      </w:r>
      <w:r w:rsidR="001A52A3" w:rsidRPr="00105F06">
        <w:rPr>
          <w:rFonts w:eastAsia="Times New Roman" w:cstheme="minorHAnsi"/>
          <w:color w:val="000000"/>
          <w:sz w:val="24"/>
          <w:szCs w:val="24"/>
          <w:lang w:eastAsia="es-AR"/>
        </w:rPr>
        <w:t xml:space="preserve">en las gestiones de compra y </w:t>
      </w:r>
      <w:r w:rsidR="00841B2B" w:rsidRPr="00105F06">
        <w:rPr>
          <w:rFonts w:eastAsia="Times New Roman" w:cstheme="minorHAnsi"/>
          <w:color w:val="000000"/>
          <w:sz w:val="24"/>
          <w:szCs w:val="24"/>
          <w:lang w:eastAsia="es-AR"/>
        </w:rPr>
        <w:t xml:space="preserve">presupuestarias para la adquisición de insumos. </w:t>
      </w:r>
    </w:p>
    <w:p w:rsidR="001A52A3" w:rsidRPr="00105F06" w:rsidRDefault="001A52A3" w:rsidP="00105F0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000000"/>
          <w:sz w:val="24"/>
          <w:szCs w:val="24"/>
          <w:lang w:eastAsia="es-AR"/>
        </w:rPr>
        <w:t>En todos los casos el desarrollo de la Técnica del Insecto Estéril, requiere fundamentalmente disponer de una colonia de insectos para facilitar y desarrollar la cría y la TIE, lo cual fue seriamente afectada.</w:t>
      </w:r>
    </w:p>
    <w:p w:rsidR="000115CF" w:rsidRDefault="00841B2B" w:rsidP="00105F0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000000"/>
          <w:sz w:val="24"/>
          <w:szCs w:val="24"/>
          <w:lang w:eastAsia="es-AR"/>
        </w:rPr>
        <w:t>En lo referido a los recursos humanos, por destacar la variable más importante, la imposibilidad de que el personal concurriera a trabajar desde Marzo a Junio de 2020, hizo desaparecer prácticamente las colonias de cría de dichas especies. Solamente se pudo mantener un pequeño pie de cría en los domicilios particulares de tres personas</w:t>
      </w:r>
      <w:r w:rsidR="001A52A3" w:rsidRPr="00105F06">
        <w:rPr>
          <w:rFonts w:eastAsia="Times New Roman" w:cstheme="minorHAnsi"/>
          <w:color w:val="000000"/>
          <w:sz w:val="24"/>
          <w:szCs w:val="24"/>
          <w:lang w:eastAsia="es-AR"/>
        </w:rPr>
        <w:t>, que ofrecieron voluntariamente espacios en sus casas para mantenerlas allí. A partir de Junio con la apertura parcial y limitada en los horarios, se reiniciaron las actividades, sin embargo se priorizó una línea de trabajo que fue Lobesia botrana. A continuación una breve reseña de las actividades por línea de trabajo</w:t>
      </w:r>
    </w:p>
    <w:p w:rsidR="00105F06" w:rsidRPr="00105F06" w:rsidRDefault="00105F06" w:rsidP="00105F06">
      <w:pPr>
        <w:pStyle w:val="ListParagraph"/>
        <w:shd w:val="clear" w:color="auto" w:fill="FFFFFF"/>
        <w:spacing w:before="100" w:beforeAutospacing="1" w:after="100" w:afterAutospacing="1" w:line="360" w:lineRule="auto"/>
        <w:ind w:left="709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841B2B" w:rsidRPr="00105F06" w:rsidRDefault="000115CF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eastAsia="Times New Roman" w:cstheme="minorHAnsi"/>
          <w:b/>
          <w:color w:val="1D2228"/>
          <w:sz w:val="24"/>
          <w:szCs w:val="24"/>
          <w:u w:val="single"/>
          <w:lang w:eastAsia="es-AR"/>
        </w:rPr>
      </w:pPr>
      <w:r w:rsidRPr="00105F06">
        <w:rPr>
          <w:rFonts w:eastAsia="Times New Roman" w:cstheme="minorHAnsi"/>
          <w:b/>
          <w:i/>
          <w:color w:val="1D2228"/>
          <w:sz w:val="24"/>
          <w:szCs w:val="24"/>
          <w:u w:val="single"/>
          <w:lang w:eastAsia="es-AR"/>
        </w:rPr>
        <w:lastRenderedPageBreak/>
        <w:t>Drosophila suzukii</w:t>
      </w:r>
      <w:r w:rsidR="006F24E1" w:rsidRPr="00105F06">
        <w:rPr>
          <w:rFonts w:eastAsia="Times New Roman" w:cstheme="minorHAnsi"/>
          <w:b/>
          <w:i/>
          <w:color w:val="1D2228"/>
          <w:sz w:val="24"/>
          <w:szCs w:val="24"/>
          <w:u w:val="single"/>
          <w:lang w:eastAsia="es-AR"/>
        </w:rPr>
        <w:t xml:space="preserve"> – </w:t>
      </w:r>
      <w:r w:rsidR="006F24E1" w:rsidRPr="00105F06">
        <w:rPr>
          <w:rFonts w:eastAsia="Times New Roman" w:cstheme="minorHAnsi"/>
          <w:b/>
          <w:color w:val="1D2228"/>
          <w:sz w:val="24"/>
          <w:szCs w:val="24"/>
          <w:u w:val="single"/>
          <w:lang w:eastAsia="es-AR"/>
        </w:rPr>
        <w:t>Mosca de las alas manchadas</w:t>
      </w:r>
    </w:p>
    <w:p w:rsidR="00711DB2" w:rsidRDefault="007A1DC8" w:rsidP="00105F06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Introducción:</w:t>
      </w:r>
      <w:r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El plan de trabajo del año 2020</w:t>
      </w:r>
      <w:r w:rsidR="00711DB2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se encuentra enmarcado y coordinado desde un Proyecto de Cooperación Técnica Internacional con la AIEA junto a 12 países más.</w:t>
      </w:r>
      <w:r w:rsidR="002B69D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Proyecto D43003 – AIEA-SENASA-ISCAMEN</w:t>
      </w:r>
    </w:p>
    <w:p w:rsidR="00711DB2" w:rsidRDefault="00711DB2" w:rsidP="00105F06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772E4E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El plan de trabajo incluyó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;</w:t>
      </w:r>
    </w:p>
    <w:p w:rsidR="00711DB2" w:rsidRPr="00105F06" w:rsidRDefault="00711DB2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>Factibilidad de la cría masiva, irradiación y metodologías de manejo de empaque y liberación.</w:t>
      </w:r>
      <w:r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 </w:t>
      </w:r>
      <w:r w:rsidR="00E15F41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 Y CONTINÚA MEJORANDOSE.</w:t>
      </w:r>
    </w:p>
    <w:p w:rsidR="00711DB2" w:rsidRPr="00105F06" w:rsidRDefault="00711DB2" w:rsidP="007850F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>Determinación de parámetros de Calidad.</w:t>
      </w:r>
      <w:r w:rsidR="00E15F41"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E15F41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 Y REPROGRAMADO EN SU MEJORA Y ALCANCE</w:t>
      </w:r>
      <w:r w:rsidR="00E15F41" w:rsidRPr="00105F06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711DB2" w:rsidRPr="00105F06" w:rsidRDefault="00711DB2" w:rsidP="00ED740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>Determinación de compatibilidad, competitividad y test de esterilidad inducida.</w:t>
      </w:r>
      <w:r w:rsidR="00E15F41"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E15F41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COMPLETADO.</w:t>
      </w:r>
    </w:p>
    <w:p w:rsidR="00711DB2" w:rsidRPr="00105F06" w:rsidRDefault="00711DB2" w:rsidP="001A7B0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>Evaluación de efectividad del uso de la Técnica del Insecto Estéril en explotaciones agrícolas confinadas.</w:t>
      </w:r>
      <w:r w:rsidR="00105F06"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E15F41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REPROGRAMADO POR FALTA DE PERSONAL</w:t>
      </w:r>
      <w:r w:rsidR="00E15F41" w:rsidRPr="00105F06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A507BD" w:rsidRPr="00105F06" w:rsidRDefault="00A507BD" w:rsidP="008C0EB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Evaluación de la efectividad de la </w:t>
      </w:r>
      <w:r w:rsidR="00163D52" w:rsidRPr="00105F06">
        <w:rPr>
          <w:rFonts w:eastAsia="Times New Roman" w:cstheme="minorHAnsi"/>
          <w:color w:val="1D2228"/>
          <w:sz w:val="24"/>
          <w:szCs w:val="24"/>
          <w:lang w:eastAsia="es-AR"/>
        </w:rPr>
        <w:t>Técnica</w:t>
      </w: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del Insecto Estéril en explotaciones comerciales a campo abierto integradas a otras técnicas de control. </w:t>
      </w:r>
      <w:r w:rsidR="00E15F41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REPROGRAMADO POR FALTA DE PERSONAL.</w:t>
      </w:r>
    </w:p>
    <w:p w:rsidR="00711DB2" w:rsidRPr="00105F06" w:rsidRDefault="00711DB2" w:rsidP="00B641F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GIS </w:t>
      </w:r>
      <w:r w:rsidR="00A507BD" w:rsidRPr="00105F06">
        <w:rPr>
          <w:rFonts w:eastAsia="Times New Roman" w:cstheme="minorHAnsi"/>
          <w:color w:val="1D2228"/>
          <w:sz w:val="24"/>
          <w:szCs w:val="24"/>
          <w:lang w:eastAsia="es-AR"/>
        </w:rPr>
        <w:t>para monitoreo de las poblaciones</w:t>
      </w:r>
      <w:r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.</w:t>
      </w:r>
      <w:r w:rsidR="00105F06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 </w:t>
      </w:r>
      <w:r w:rsidR="00E15F41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 COMPLETADO.</w:t>
      </w:r>
    </w:p>
    <w:p w:rsidR="00E15F41" w:rsidRPr="00105F06" w:rsidRDefault="00163D52" w:rsidP="00357AF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b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>Factibilidad de uso de la TIE bajo un plan de Manejo Integrado de Plaga a través de estudios costo/beneficio.</w:t>
      </w:r>
      <w:r w:rsidR="00105F06"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E15F41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REPROGRAMADO</w:t>
      </w:r>
      <w:r w:rsidR="004B3772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.</w:t>
      </w:r>
    </w:p>
    <w:p w:rsidR="00163D52" w:rsidRPr="00772E4E" w:rsidRDefault="00E15F41" w:rsidP="00105F06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</w:pPr>
      <w:r w:rsidRPr="00772E4E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Resultados obtenidos</w:t>
      </w:r>
    </w:p>
    <w:p w:rsidR="00E15F41" w:rsidRDefault="00E15F41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Se ha logrado establecer </w:t>
      </w:r>
      <w:r w:rsidR="00772E4E">
        <w:rPr>
          <w:rFonts w:eastAsia="Times New Roman" w:cstheme="minorHAnsi"/>
          <w:color w:val="1D2228"/>
          <w:sz w:val="24"/>
          <w:szCs w:val="24"/>
          <w:lang w:eastAsia="es-AR"/>
        </w:rPr>
        <w:t xml:space="preserve">metodologías,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procedimientos de cría y control de calidad.</w:t>
      </w:r>
    </w:p>
    <w:p w:rsidR="00E15F41" w:rsidRDefault="00E15F41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Se ha determinado la posibilidad de uso de la TIE, a ser evaluada en explotaciones confinadas y a campo abierto.</w:t>
      </w:r>
    </w:p>
    <w:p w:rsidR="00E15F41" w:rsidRDefault="00E15F41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Se ha logrado integrar sistemas GIS al monitoreo actual de la plaga.</w:t>
      </w:r>
    </w:p>
    <w:p w:rsidR="00E15F41" w:rsidRDefault="00772E4E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Se ha realizado por primera vez en el mundo la liberación de </w:t>
      </w:r>
      <w:r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Drosophila suzukii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estériles en invernáculos de frutillas para evaluar la Técnica del Insecto Estéril</w:t>
      </w:r>
      <w:r w:rsidRPr="00772E4E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(Ver Foto Publicación AIEA Enero 2021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)</w:t>
      </w:r>
      <w:r w:rsidRPr="00772E4E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772E4E" w:rsidRDefault="00772E4E" w:rsidP="00105F06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 xml:space="preserve">Proyecciones para el próximo año </w:t>
      </w:r>
      <w:r w:rsidR="00623AB6" w:rsidRPr="00105F06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2021</w:t>
      </w:r>
      <w:r w:rsidR="00623AB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(en tanto se levanten las restricciones por Covid19)</w:t>
      </w:r>
    </w:p>
    <w:p w:rsidR="00772E4E" w:rsidRDefault="00772E4E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Evaluación de TIE en inve</w:t>
      </w:r>
      <w:r w:rsidR="00B25C10">
        <w:rPr>
          <w:rFonts w:eastAsia="Times New Roman" w:cstheme="minorHAnsi"/>
          <w:color w:val="1D2228"/>
          <w:sz w:val="24"/>
          <w:szCs w:val="24"/>
          <w:lang w:eastAsia="es-AR"/>
        </w:rPr>
        <w:t>rnáculos: marzo-abril 2021.</w:t>
      </w:r>
    </w:p>
    <w:p w:rsidR="004B3772" w:rsidRDefault="00B25C10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lastRenderedPageBreak/>
        <w:t xml:space="preserve">Evaluación de </w:t>
      </w:r>
      <w:r w:rsidR="004B3772">
        <w:rPr>
          <w:rFonts w:eastAsia="Times New Roman" w:cstheme="minorHAnsi"/>
          <w:color w:val="1D2228"/>
          <w:sz w:val="24"/>
          <w:szCs w:val="24"/>
          <w:lang w:eastAsia="es-AR"/>
        </w:rPr>
        <w:t>Sistemas de C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ontrol por estaciones cebos/</w:t>
      </w:r>
      <w:r w:rsidR="004B3772">
        <w:rPr>
          <w:rFonts w:eastAsia="Times New Roman" w:cstheme="minorHAnsi"/>
          <w:color w:val="1D2228"/>
          <w:sz w:val="24"/>
          <w:szCs w:val="24"/>
          <w:lang w:eastAsia="es-AR"/>
        </w:rPr>
        <w:t>trampeo masivo en áreas amplias: setiembre 2021.</w:t>
      </w:r>
    </w:p>
    <w:p w:rsidR="00B25C10" w:rsidRDefault="004B3772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Ajuste del sistema de cría: enero de 2021 en adelante.</w:t>
      </w:r>
      <w:r w:rsidR="00B25C1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</w:p>
    <w:p w:rsidR="004B3772" w:rsidRDefault="004B3772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Incremento de la colonia de reproductores para posibilitar disponer de material biológico para las evaluaciones mencionadas: enero de 2021 en adelante.</w:t>
      </w:r>
    </w:p>
    <w:p w:rsidR="004B3772" w:rsidRDefault="004B3772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Evaluación de la calidad de los insectos criados a laboratorio y silvestres: enero 2021 en adelante.</w:t>
      </w:r>
    </w:p>
    <w:p w:rsidR="004B3772" w:rsidRDefault="004B3772" w:rsidP="00105F06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Indicadores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: se propone</w:t>
      </w:r>
      <w:r w:rsidR="002D5B10">
        <w:rPr>
          <w:rFonts w:eastAsia="Times New Roman" w:cstheme="minorHAnsi"/>
          <w:color w:val="1D2228"/>
          <w:sz w:val="24"/>
          <w:szCs w:val="24"/>
          <w:lang w:eastAsia="es-AR"/>
        </w:rPr>
        <w:t>n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los siguientes indicadores</w:t>
      </w:r>
    </w:p>
    <w:p w:rsidR="00A63115" w:rsidRDefault="004B3772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Pupas/tonelada de dieta</w:t>
      </w:r>
    </w:p>
    <w:p w:rsidR="004B3772" w:rsidRDefault="004B3772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Peso de pupa</w:t>
      </w:r>
    </w:p>
    <w:p w:rsidR="00A63115" w:rsidRDefault="00105F06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% Emergencia</w:t>
      </w:r>
      <w:r w:rsidR="00A63115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1921"/>
        <w:gridCol w:w="1450"/>
        <w:gridCol w:w="1922"/>
      </w:tblGrid>
      <w:tr w:rsidR="00967065" w:rsidTr="00105F06">
        <w:trPr>
          <w:jc w:val="center"/>
        </w:trPr>
        <w:tc>
          <w:tcPr>
            <w:tcW w:w="2098" w:type="dxa"/>
          </w:tcPr>
          <w:p w:rsidR="00967065" w:rsidRDefault="0096706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Indicador</w:t>
            </w:r>
          </w:p>
        </w:tc>
        <w:tc>
          <w:tcPr>
            <w:tcW w:w="1921" w:type="dxa"/>
          </w:tcPr>
          <w:p w:rsidR="00967065" w:rsidRDefault="0096706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Campaña 2017/2018</w:t>
            </w:r>
          </w:p>
        </w:tc>
        <w:tc>
          <w:tcPr>
            <w:tcW w:w="1450" w:type="dxa"/>
          </w:tcPr>
          <w:p w:rsidR="00967065" w:rsidRDefault="0096706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Campaña 2018/2019</w:t>
            </w:r>
          </w:p>
        </w:tc>
        <w:tc>
          <w:tcPr>
            <w:tcW w:w="1922" w:type="dxa"/>
          </w:tcPr>
          <w:p w:rsidR="00967065" w:rsidRDefault="0096706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Campaña 2019/2020</w:t>
            </w:r>
          </w:p>
        </w:tc>
      </w:tr>
      <w:tr w:rsidR="00967065" w:rsidTr="00105F06">
        <w:trPr>
          <w:jc w:val="center"/>
        </w:trPr>
        <w:tc>
          <w:tcPr>
            <w:tcW w:w="2098" w:type="dxa"/>
          </w:tcPr>
          <w:p w:rsidR="00967065" w:rsidRDefault="0096706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Pupas/Gr. de Dieta</w:t>
            </w:r>
          </w:p>
        </w:tc>
        <w:tc>
          <w:tcPr>
            <w:tcW w:w="1921" w:type="dxa"/>
          </w:tcPr>
          <w:p w:rsidR="00967065" w:rsidRDefault="0096706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4.98</w:t>
            </w:r>
          </w:p>
        </w:tc>
        <w:tc>
          <w:tcPr>
            <w:tcW w:w="1450" w:type="dxa"/>
          </w:tcPr>
          <w:p w:rsidR="00967065" w:rsidRDefault="00104CDD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10.5</w:t>
            </w:r>
          </w:p>
        </w:tc>
        <w:tc>
          <w:tcPr>
            <w:tcW w:w="1922" w:type="dxa"/>
          </w:tcPr>
          <w:p w:rsidR="00967065" w:rsidRDefault="00104CDD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14.1</w:t>
            </w:r>
          </w:p>
        </w:tc>
      </w:tr>
      <w:tr w:rsidR="00967065" w:rsidTr="00105F06">
        <w:trPr>
          <w:jc w:val="center"/>
        </w:trPr>
        <w:tc>
          <w:tcPr>
            <w:tcW w:w="2098" w:type="dxa"/>
          </w:tcPr>
          <w:p w:rsidR="00967065" w:rsidRDefault="00104CDD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Peso de pupa (mg)</w:t>
            </w:r>
          </w:p>
        </w:tc>
        <w:tc>
          <w:tcPr>
            <w:tcW w:w="1921" w:type="dxa"/>
          </w:tcPr>
          <w:p w:rsidR="00967065" w:rsidRDefault="00FD405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450" w:type="dxa"/>
          </w:tcPr>
          <w:p w:rsidR="00967065" w:rsidRDefault="00FD405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922" w:type="dxa"/>
          </w:tcPr>
          <w:p w:rsidR="00967065" w:rsidRDefault="00FD405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1.48</w:t>
            </w:r>
          </w:p>
        </w:tc>
      </w:tr>
      <w:tr w:rsidR="00FD4055" w:rsidTr="00105F06">
        <w:trPr>
          <w:jc w:val="center"/>
        </w:trPr>
        <w:tc>
          <w:tcPr>
            <w:tcW w:w="2098" w:type="dxa"/>
          </w:tcPr>
          <w:p w:rsidR="00FD4055" w:rsidRDefault="00FD405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% Emergencia</w:t>
            </w:r>
          </w:p>
        </w:tc>
        <w:tc>
          <w:tcPr>
            <w:tcW w:w="1921" w:type="dxa"/>
          </w:tcPr>
          <w:p w:rsidR="00FD4055" w:rsidRDefault="00FD405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450" w:type="dxa"/>
          </w:tcPr>
          <w:p w:rsidR="00FD4055" w:rsidRDefault="00FD405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922" w:type="dxa"/>
          </w:tcPr>
          <w:p w:rsidR="00FD4055" w:rsidRDefault="00FD405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77.32</w:t>
            </w:r>
          </w:p>
        </w:tc>
      </w:tr>
    </w:tbl>
    <w:p w:rsidR="006F24E1" w:rsidRPr="00105F06" w:rsidRDefault="006F24E1" w:rsidP="00105F06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eastAsia="Times New Roman" w:cstheme="minorHAnsi"/>
          <w:b/>
          <w:color w:val="1D2228"/>
          <w:sz w:val="24"/>
          <w:szCs w:val="24"/>
          <w:lang w:eastAsia="es-AR"/>
        </w:rPr>
      </w:pPr>
      <w:r w:rsidRPr="00105F06">
        <w:rPr>
          <w:rFonts w:eastAsia="Times New Roman" w:cstheme="minorHAnsi"/>
          <w:b/>
          <w:i/>
          <w:color w:val="1D2228"/>
          <w:sz w:val="24"/>
          <w:szCs w:val="24"/>
          <w:lang w:eastAsia="es-AR"/>
        </w:rPr>
        <w:t xml:space="preserve">Lobesia botrana – </w:t>
      </w:r>
      <w:r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Polilla de la </w:t>
      </w:r>
      <w:r w:rsidR="00841B2B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vid</w:t>
      </w:r>
    </w:p>
    <w:p w:rsidR="00FD4055" w:rsidRPr="00105F06" w:rsidRDefault="007A1DC8" w:rsidP="00024CB9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Introducción:</w:t>
      </w:r>
      <w:r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El plan de trabajo del año 2020</w:t>
      </w:r>
      <w:r w:rsidR="00FD4055"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se encuentra enmarcado y coordinado desde un Proyecto de Cooperación Técnica Inte</w:t>
      </w:r>
      <w:r w:rsidR="00FD4055" w:rsidRPr="00105F06">
        <w:rPr>
          <w:rFonts w:eastAsia="Times New Roman" w:cstheme="minorHAnsi"/>
          <w:color w:val="1D2228"/>
          <w:sz w:val="24"/>
          <w:szCs w:val="24"/>
          <w:lang w:eastAsia="es-AR"/>
        </w:rPr>
        <w:t>rnacional con la AIEA junto a 13</w:t>
      </w:r>
      <w:r w:rsidR="00FD4055"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países más.</w:t>
      </w:r>
      <w:r w:rsidR="002B69D0" w:rsidRPr="00105F0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Proyecto </w:t>
      </w:r>
      <w:r w:rsidR="002B69D0" w:rsidRPr="00105F06">
        <w:rPr>
          <w:rFonts w:cstheme="minorHAnsi"/>
          <w:sz w:val="24"/>
        </w:rPr>
        <w:t xml:space="preserve"> </w:t>
      </w:r>
      <w:r w:rsidR="002B69D0" w:rsidRPr="00105F06">
        <w:rPr>
          <w:rFonts w:cstheme="minorHAnsi"/>
          <w:sz w:val="24"/>
        </w:rPr>
        <w:t>D41026 / IAEA-ISCAMEN</w:t>
      </w:r>
      <w:r w:rsidR="002B69D0" w:rsidRPr="00105F06">
        <w:rPr>
          <w:rFonts w:cstheme="minorHAnsi"/>
          <w:sz w:val="24"/>
        </w:rPr>
        <w:t>.</w:t>
      </w:r>
    </w:p>
    <w:p w:rsidR="00FD4055" w:rsidRDefault="00FD4055" w:rsidP="00105F06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772E4E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El plan de trabajo incluyó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;</w:t>
      </w:r>
    </w:p>
    <w:p w:rsidR="002B69D0" w:rsidRPr="002B69D0" w:rsidRDefault="002B69D0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2B69D0">
        <w:rPr>
          <w:rFonts w:eastAsia="Times New Roman" w:cstheme="minorHAnsi"/>
          <w:color w:val="1D2228"/>
          <w:sz w:val="24"/>
          <w:szCs w:val="24"/>
          <w:lang w:eastAsia="es-AR"/>
        </w:rPr>
        <w:t>Adaptación y expansión de la Unidad Experimental de Crianza existente, con las características y equipamiento adecuado para la cría experimental de Lobesia botrana.</w:t>
      </w:r>
      <w:r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 </w:t>
      </w:r>
      <w:r w:rsidR="00705C6D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EN PROCESO.</w:t>
      </w:r>
    </w:p>
    <w:p w:rsidR="002B69D0" w:rsidRPr="002B69D0" w:rsidRDefault="002B69D0" w:rsidP="00105F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2B69D0">
        <w:rPr>
          <w:rFonts w:eastAsia="Times New Roman" w:cstheme="minorHAnsi"/>
          <w:color w:val="1D2228"/>
          <w:sz w:val="24"/>
          <w:szCs w:val="24"/>
          <w:lang w:eastAsia="es-AR"/>
        </w:rPr>
        <w:t>Desarrollo e Implementación de una dieta y procedimientos semi automatizados que sean adecuados y económicamente rentables para la implementación de SIT como parte del control de Lobesia Botrana.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705C6D" w:rsidRPr="00105F06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 Y EN MEJORA</w:t>
      </w:r>
      <w:r w:rsidR="00705C6D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 CONTINUA.</w:t>
      </w:r>
    </w:p>
    <w:p w:rsidR="002B69D0" w:rsidRPr="002B69D0" w:rsidRDefault="002B69D0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2B69D0">
        <w:rPr>
          <w:rFonts w:eastAsia="Times New Roman" w:cstheme="minorHAnsi"/>
          <w:color w:val="1D2228"/>
          <w:sz w:val="24"/>
          <w:szCs w:val="24"/>
          <w:lang w:eastAsia="es-AR"/>
        </w:rPr>
        <w:lastRenderedPageBreak/>
        <w:t>Establecer procedimientos estándar de cría de Lobesia botrana.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705C6D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 Y EN MEJORA CONTINUA</w:t>
      </w:r>
      <w:r w:rsidR="00705C6D" w:rsidRPr="007A1DC8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2B69D0" w:rsidRPr="00705C6D" w:rsidRDefault="002B69D0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2B69D0">
        <w:rPr>
          <w:rFonts w:eastAsia="Times New Roman" w:cstheme="minorHAnsi"/>
          <w:color w:val="1D2228"/>
          <w:sz w:val="24"/>
          <w:szCs w:val="24"/>
          <w:lang w:eastAsia="es-AR"/>
        </w:rPr>
        <w:t>Definir la dosis de irradiación, el sistema de "empaque", “Transporte” y “Sistema de liberación” posterior.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705C6D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 Y EN MEJORA CONTINUA</w:t>
      </w:r>
      <w:r w:rsidR="00705C6D" w:rsidRPr="007A1DC8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FD4055" w:rsidRPr="00705C6D" w:rsidRDefault="002B69D0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2B69D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En una segunda fase del proyecto 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se prevé </w:t>
      </w:r>
      <w:r w:rsidRPr="002B69D0">
        <w:rPr>
          <w:rFonts w:eastAsia="Times New Roman" w:cstheme="minorHAnsi"/>
          <w:color w:val="1D2228"/>
          <w:sz w:val="24"/>
          <w:szCs w:val="24"/>
          <w:lang w:eastAsia="es-AR"/>
        </w:rPr>
        <w:t>ensayos de laboratorio y de campo, incluyendo compatibilidad, competitividad, tasa de liberación de insectos estériles, polillas fértil / estéril, determinación de parámetros técnicos, costos para la cría masiva y la consecuente evaluación costo-beneficio de la aplicación de esta técnica.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705C6D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EN EJECUCION</w:t>
      </w:r>
    </w:p>
    <w:p w:rsidR="00FD4055" w:rsidRPr="00772E4E" w:rsidRDefault="00FD4055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</w:pPr>
      <w:r w:rsidRPr="00772E4E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Resultados obtenidos</w:t>
      </w:r>
    </w:p>
    <w:p w:rsidR="00FD4055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Se ha logrado establecer metodologías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y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>procedimientos de cría, aunque se requiere de una adecuación de las instalaciones para evitar desviaciones en los indicadores de producción y de calidad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705C6D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Se ha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iniciado en el mes de Diciembre de 2020 un ensayo experimental en el departamento de Tupungato con el objetivo de evaluar dos técnicas de control por separado e integradas: </w:t>
      </w:r>
      <w:r w:rsidR="00AA3FC8">
        <w:rPr>
          <w:rFonts w:eastAsia="Times New Roman" w:cstheme="minorHAnsi"/>
          <w:color w:val="1D2228"/>
          <w:sz w:val="24"/>
          <w:szCs w:val="24"/>
          <w:lang w:eastAsia="es-AR"/>
        </w:rPr>
        <w:t>“Técnica</w:t>
      </w:r>
      <w:r w:rsidR="00705C6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de Confusión Sexual” y “Técnica de Insecto Estéril”. </w:t>
      </w:r>
    </w:p>
    <w:p w:rsidR="00705C6D" w:rsidRDefault="00705C6D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705C6D">
        <w:rPr>
          <w:rFonts w:eastAsia="Times New Roman" w:cstheme="minorHAnsi"/>
          <w:color w:val="1D2228"/>
          <w:sz w:val="24"/>
          <w:szCs w:val="24"/>
          <w:lang w:eastAsia="es-AR"/>
        </w:rPr>
        <w:t>A partir del ensayo mencionado se espera obtener indicadores de campo de tasa de liberación adecuada, tasa de recaptura, grado de esterilidad inducida en el campo, sis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tema de transporte y liberación entre otras variables.</w:t>
      </w:r>
    </w:p>
    <w:p w:rsidR="00FD4055" w:rsidRDefault="00705C6D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Se ha logrado un sistema de cooperación técnica con el </w:t>
      </w:r>
      <w:r w:rsidR="00AA3FC8">
        <w:rPr>
          <w:rFonts w:eastAsia="Times New Roman" w:cstheme="minorHAnsi"/>
          <w:color w:val="1D2228"/>
          <w:sz w:val="24"/>
          <w:szCs w:val="24"/>
          <w:lang w:eastAsia="es-AR"/>
        </w:rPr>
        <w:t>FDF de Chile mediante el cual nos proveyeron polillas silvestres como así también posibilitaron la capacitación de un técnico y un profesional de Iscamen.</w:t>
      </w:r>
    </w:p>
    <w:p w:rsidR="00AA3FC8" w:rsidRDefault="00AA3FC8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Se ha logrado un sistema de cooperación técnica con el equipo técnico de APHIS-USDA de Estados Unidos.</w:t>
      </w:r>
    </w:p>
    <w:p w:rsidR="00FD4055" w:rsidRDefault="00FD4055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7A1DC8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Proyecciones para el próximo año</w:t>
      </w:r>
      <w:r w:rsidR="00623AB6" w:rsidRPr="007A1DC8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 xml:space="preserve"> 2021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(en tanto se levanten las restricciones por Covid19)</w:t>
      </w:r>
    </w:p>
    <w:p w:rsidR="00FD4055" w:rsidRDefault="00AA3FC8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Continuidad de e</w:t>
      </w:r>
      <w:r w:rsidR="00FD4055">
        <w:rPr>
          <w:rFonts w:eastAsia="Times New Roman" w:cstheme="minorHAnsi"/>
          <w:color w:val="1D2228"/>
          <w:sz w:val="24"/>
          <w:szCs w:val="24"/>
          <w:lang w:eastAsia="es-AR"/>
        </w:rPr>
        <w:t xml:space="preserve">valuación de TIE en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campo</w:t>
      </w:r>
      <w:r w:rsidR="00FD4055">
        <w:rPr>
          <w:rFonts w:eastAsia="Times New Roman" w:cstheme="minorHAnsi"/>
          <w:color w:val="1D2228"/>
          <w:sz w:val="24"/>
          <w:szCs w:val="24"/>
          <w:lang w:eastAsia="es-AR"/>
        </w:rPr>
        <w:t xml:space="preserve">: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enero</w:t>
      </w:r>
      <w:r w:rsidR="00FD4055">
        <w:rPr>
          <w:rFonts w:eastAsia="Times New Roman" w:cstheme="minorHAnsi"/>
          <w:color w:val="1D2228"/>
          <w:sz w:val="24"/>
          <w:szCs w:val="24"/>
          <w:lang w:eastAsia="es-AR"/>
        </w:rPr>
        <w:t>-abril 2021.</w:t>
      </w:r>
    </w:p>
    <w:p w:rsidR="00AA3FC8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Evaluación de </w:t>
      </w:r>
      <w:r w:rsidR="00AA3F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Control de Calidad de </w:t>
      </w:r>
      <w:r w:rsidR="00AA3FC8"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Lobesia botrana </w:t>
      </w:r>
      <w:r w:rsidR="00AA3FC8">
        <w:rPr>
          <w:rFonts w:eastAsia="Times New Roman" w:cstheme="minorHAnsi"/>
          <w:color w:val="1D2228"/>
          <w:sz w:val="24"/>
          <w:szCs w:val="24"/>
          <w:lang w:eastAsia="es-AR"/>
        </w:rPr>
        <w:t>a escala de laboratorio y a campo: marzo de 2021 hasta diciembre 2021.</w:t>
      </w:r>
    </w:p>
    <w:p w:rsidR="00FD4055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Ajuste del sistema de cría: enero de 2021 en adelante. </w:t>
      </w:r>
    </w:p>
    <w:p w:rsidR="00FD4055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lastRenderedPageBreak/>
        <w:t xml:space="preserve">Incremento de la colonia de reproductores para posibilitar disponer de material biológico para las evaluaciones </w:t>
      </w:r>
      <w:proofErr w:type="spellStart"/>
      <w:r>
        <w:rPr>
          <w:rFonts w:eastAsia="Times New Roman" w:cstheme="minorHAnsi"/>
          <w:color w:val="1D2228"/>
          <w:sz w:val="24"/>
          <w:szCs w:val="24"/>
          <w:lang w:eastAsia="es-AR"/>
        </w:rPr>
        <w:t>mencinadas</w:t>
      </w:r>
      <w:proofErr w:type="spellEnd"/>
      <w:r>
        <w:rPr>
          <w:rFonts w:eastAsia="Times New Roman" w:cstheme="minorHAnsi"/>
          <w:color w:val="1D2228"/>
          <w:sz w:val="24"/>
          <w:szCs w:val="24"/>
          <w:lang w:eastAsia="es-AR"/>
        </w:rPr>
        <w:t>: enero de 2021 en adelante.</w:t>
      </w:r>
    </w:p>
    <w:p w:rsidR="00FD4055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Evaluación de la calidad de los insectos criados a laboratorio y silvestres: enero 2021 en adelante.</w:t>
      </w:r>
    </w:p>
    <w:p w:rsidR="00FD4055" w:rsidRDefault="00FD4055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7A1DC8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Indicadores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: se proponen los siguientes indicadores</w:t>
      </w:r>
    </w:p>
    <w:p w:rsidR="00FD4055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Pupas/tonelada de dieta</w:t>
      </w:r>
    </w:p>
    <w:p w:rsidR="00FD4055" w:rsidRDefault="00FD4055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Peso de pupa</w:t>
      </w:r>
    </w:p>
    <w:p w:rsidR="00FD4055" w:rsidRDefault="00AA3FC8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% Emergencia</w:t>
      </w:r>
      <w:r w:rsidR="00FD4055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1605"/>
        <w:gridCol w:w="1367"/>
        <w:gridCol w:w="1606"/>
        <w:gridCol w:w="1081"/>
      </w:tblGrid>
      <w:tr w:rsidR="00631685" w:rsidTr="007A1DC8">
        <w:trPr>
          <w:jc w:val="center"/>
        </w:trPr>
        <w:tc>
          <w:tcPr>
            <w:tcW w:w="1732" w:type="dxa"/>
            <w:vMerge w:val="restart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Indicador</w:t>
            </w:r>
          </w:p>
        </w:tc>
        <w:tc>
          <w:tcPr>
            <w:tcW w:w="1605" w:type="dxa"/>
            <w:vMerge w:val="restart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Campaña 2017/2018</w:t>
            </w:r>
          </w:p>
        </w:tc>
        <w:tc>
          <w:tcPr>
            <w:tcW w:w="1367" w:type="dxa"/>
            <w:vMerge w:val="restart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Campaña 2018/2019</w:t>
            </w:r>
          </w:p>
        </w:tc>
        <w:tc>
          <w:tcPr>
            <w:tcW w:w="2687" w:type="dxa"/>
            <w:gridSpan w:val="2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Campaña 2019/2020</w:t>
            </w:r>
          </w:p>
        </w:tc>
      </w:tr>
      <w:tr w:rsidR="00631685" w:rsidTr="007A1DC8">
        <w:trPr>
          <w:jc w:val="center"/>
        </w:trPr>
        <w:tc>
          <w:tcPr>
            <w:tcW w:w="1732" w:type="dxa"/>
            <w:vMerge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</w:p>
        </w:tc>
        <w:tc>
          <w:tcPr>
            <w:tcW w:w="1605" w:type="dxa"/>
            <w:vMerge/>
          </w:tcPr>
          <w:p w:rsidR="00631685" w:rsidRDefault="00631685" w:rsidP="00F31DB3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</w:p>
        </w:tc>
        <w:tc>
          <w:tcPr>
            <w:tcW w:w="1367" w:type="dxa"/>
            <w:vMerge/>
          </w:tcPr>
          <w:p w:rsidR="00631685" w:rsidRDefault="00631685" w:rsidP="00F31DB3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</w:p>
        </w:tc>
        <w:tc>
          <w:tcPr>
            <w:tcW w:w="1606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Fértil</w:t>
            </w:r>
          </w:p>
        </w:tc>
        <w:tc>
          <w:tcPr>
            <w:tcW w:w="1081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Estéril</w:t>
            </w:r>
          </w:p>
        </w:tc>
      </w:tr>
      <w:tr w:rsidR="00631685" w:rsidTr="007A1DC8">
        <w:trPr>
          <w:jc w:val="center"/>
        </w:trPr>
        <w:tc>
          <w:tcPr>
            <w:tcW w:w="1732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Pupas/Gr. de Dieta</w:t>
            </w:r>
          </w:p>
        </w:tc>
        <w:tc>
          <w:tcPr>
            <w:tcW w:w="1605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367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2687" w:type="dxa"/>
            <w:gridSpan w:val="2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0.55</w:t>
            </w:r>
          </w:p>
        </w:tc>
      </w:tr>
      <w:tr w:rsidR="00631685" w:rsidTr="007A1DC8">
        <w:trPr>
          <w:jc w:val="center"/>
        </w:trPr>
        <w:tc>
          <w:tcPr>
            <w:tcW w:w="1732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Peso de pupa (mg)</w:t>
            </w:r>
          </w:p>
        </w:tc>
        <w:tc>
          <w:tcPr>
            <w:tcW w:w="1605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367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2687" w:type="dxa"/>
            <w:gridSpan w:val="2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6.345</w:t>
            </w:r>
          </w:p>
        </w:tc>
      </w:tr>
      <w:tr w:rsidR="00631685" w:rsidTr="007A1DC8">
        <w:trPr>
          <w:jc w:val="center"/>
        </w:trPr>
        <w:tc>
          <w:tcPr>
            <w:tcW w:w="1732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% Emergencia</w:t>
            </w:r>
          </w:p>
        </w:tc>
        <w:tc>
          <w:tcPr>
            <w:tcW w:w="1605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367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ND</w:t>
            </w:r>
          </w:p>
        </w:tc>
        <w:tc>
          <w:tcPr>
            <w:tcW w:w="1606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79.37</w:t>
            </w:r>
          </w:p>
        </w:tc>
        <w:tc>
          <w:tcPr>
            <w:tcW w:w="1081" w:type="dxa"/>
          </w:tcPr>
          <w:p w:rsidR="00631685" w:rsidRDefault="00631685" w:rsidP="00631685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1D2228"/>
                <w:sz w:val="24"/>
                <w:szCs w:val="24"/>
                <w:lang w:eastAsia="es-AR"/>
              </w:rPr>
              <w:t>65.75</w:t>
            </w:r>
          </w:p>
        </w:tc>
      </w:tr>
    </w:tbl>
    <w:p w:rsidR="006F24E1" w:rsidRPr="007A1DC8" w:rsidRDefault="006F24E1" w:rsidP="007A1DC8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eastAsia="Times New Roman" w:cstheme="minorHAnsi"/>
          <w:b/>
          <w:color w:val="1D2228"/>
          <w:sz w:val="24"/>
          <w:szCs w:val="24"/>
          <w:u w:val="single"/>
          <w:lang w:eastAsia="es-AR"/>
        </w:rPr>
      </w:pPr>
      <w:r w:rsidRPr="007A1DC8">
        <w:rPr>
          <w:rFonts w:eastAsia="Times New Roman" w:cstheme="minorHAnsi"/>
          <w:b/>
          <w:i/>
          <w:color w:val="1D2228"/>
          <w:sz w:val="24"/>
          <w:szCs w:val="24"/>
          <w:u w:val="single"/>
          <w:lang w:eastAsia="es-AR"/>
        </w:rPr>
        <w:t>Aedes aegypti –</w:t>
      </w:r>
      <w:r w:rsidRPr="007A1DC8">
        <w:rPr>
          <w:rFonts w:eastAsia="Times New Roman" w:cstheme="minorHAnsi"/>
          <w:b/>
          <w:color w:val="1D2228"/>
          <w:sz w:val="24"/>
          <w:szCs w:val="24"/>
          <w:u w:val="single"/>
          <w:lang w:eastAsia="es-AR"/>
        </w:rPr>
        <w:t xml:space="preserve"> Mosquito del dengue </w:t>
      </w:r>
    </w:p>
    <w:p w:rsidR="00623AB6" w:rsidRPr="007A1DC8" w:rsidRDefault="007A1DC8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Introducción:</w:t>
      </w:r>
      <w:r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623AB6" w:rsidRPr="007A1DC8">
        <w:rPr>
          <w:rFonts w:eastAsia="Times New Roman" w:cstheme="minorHAnsi"/>
          <w:color w:val="1D2228"/>
          <w:sz w:val="24"/>
          <w:szCs w:val="24"/>
          <w:lang w:eastAsia="es-AR"/>
        </w:rPr>
        <w:t>El plan de trabajo del año 2020</w:t>
      </w:r>
      <w:r w:rsidR="00623AB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se encuentra enmarcado y coordinado desde un Proyecto de Cooperación </w:t>
      </w:r>
      <w:r w:rsidR="00623AB6">
        <w:rPr>
          <w:rFonts w:eastAsia="Times New Roman" w:cstheme="minorHAnsi"/>
          <w:color w:val="1D2228"/>
          <w:sz w:val="24"/>
          <w:szCs w:val="24"/>
          <w:lang w:eastAsia="es-AR"/>
        </w:rPr>
        <w:t>con la CNEA, el cual, en virtud de las nuevas regulaciones internacionales (AIEA-FAO), para la implementación de la TIE, se encuentra bajo análisis.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623AB6" w:rsidRPr="007A1DC8">
        <w:rPr>
          <w:rFonts w:eastAsia="Times New Roman" w:cstheme="minorHAnsi"/>
          <w:color w:val="1D2228"/>
          <w:sz w:val="24"/>
          <w:szCs w:val="24"/>
          <w:lang w:eastAsia="es-AR"/>
        </w:rPr>
        <w:t>En función de las nuevas regulaciones, se ha establecido como prioridad la creación de una colonia propia de la Provincia de Mendoza, como primer paso de la cría y desarrollo de la TIE</w:t>
      </w:r>
    </w:p>
    <w:p w:rsidR="00623AB6" w:rsidRDefault="00623AB6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772E4E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El plan de trabajo incluyó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;</w:t>
      </w:r>
    </w:p>
    <w:p w:rsidR="00623AB6" w:rsidRPr="00623AB6" w:rsidRDefault="00623AB6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623AB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Capacitación de Técnicos y Profesionales de ISCAMEN, a través de un proyecto de cooperación técnica que tiene la Agencia Internacional de Energía Atómica con la Comisión Nacional de Energía Atómica de Argentina. </w:t>
      </w:r>
      <w:r w:rsidRPr="00623AB6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COMPLETADO.</w:t>
      </w:r>
    </w:p>
    <w:p w:rsidR="00623AB6" w:rsidRDefault="00623AB6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lastRenderedPageBreak/>
        <w:t>Transferencia de una colonia con origen en la Provincia de Misiones, para posibilitar el desarrollo de la TIE en el país y en países limítrofes.</w:t>
      </w:r>
      <w:r w:rsidR="00FF2B6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7A1DC8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C</w:t>
      </w:r>
      <w:r w:rsidR="00FF2B60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OMPLETADO</w:t>
      </w:r>
      <w:r w:rsidR="00FF2B60" w:rsidRPr="007A1DC8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623AB6" w:rsidRPr="00FF2B60" w:rsidRDefault="00FF2B60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FF2B60">
        <w:rPr>
          <w:rFonts w:eastAsia="Times New Roman" w:cstheme="minorHAnsi"/>
          <w:color w:val="1D2228"/>
          <w:sz w:val="24"/>
          <w:szCs w:val="24"/>
          <w:lang w:eastAsia="es-AR"/>
        </w:rPr>
        <w:t>Desarrollo de sistema de cría semi masivo en las instalaciones de ISCAMEN en Km8.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EN EJECUCION</w:t>
      </w:r>
      <w:r w:rsidR="00623AB6" w:rsidRPr="007A1DC8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623AB6" w:rsidRPr="00A507BD" w:rsidRDefault="00623AB6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A507BD">
        <w:rPr>
          <w:rFonts w:eastAsia="Times New Roman" w:cstheme="minorHAnsi"/>
          <w:color w:val="1D2228"/>
          <w:sz w:val="24"/>
          <w:szCs w:val="24"/>
          <w:lang w:eastAsia="es-AR"/>
        </w:rPr>
        <w:t>Determinación de compatibilidad, competitividad y test de esterilidad inducida.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FF2B6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FF2B60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PLANIFICADO PARA 2021</w:t>
      </w:r>
      <w:r w:rsidR="00FF2B60"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(una vez instaurada la colonia propia de la Provincia de Mendoza).</w:t>
      </w:r>
    </w:p>
    <w:p w:rsidR="00FF2B60" w:rsidRDefault="00FF2B60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Colecta de material silvestre de </w:t>
      </w:r>
      <w:r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Aedes aegypti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para posibilitar el reinicio de la cría y reemplazo de la colonia de la Provincia de Misiones. </w:t>
      </w: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PLANIFICADO A PARTIR DE ENERO DE 2021</w:t>
      </w:r>
      <w:r w:rsidRPr="007A1DC8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623AB6" w:rsidRPr="00FF2B60" w:rsidRDefault="00623AB6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FF2B60">
        <w:rPr>
          <w:rFonts w:eastAsia="Times New Roman" w:cstheme="minorHAnsi"/>
          <w:color w:val="1D2228"/>
          <w:sz w:val="24"/>
          <w:szCs w:val="24"/>
          <w:lang w:eastAsia="es-AR"/>
        </w:rPr>
        <w:t>Evaluación de efectividad del uso de la Técnica del Insecto Estéril</w:t>
      </w:r>
      <w:r w:rsidR="00FF2B60" w:rsidRPr="00FF2B6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a escala piloto </w:t>
      </w:r>
      <w:r w:rsidRPr="00FF2B6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en </w:t>
      </w:r>
      <w:r w:rsidR="00FF2B60" w:rsidRPr="00FF2B6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zonas urbanas de la Provincia de Mendoza. </w:t>
      </w: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PROGRAMADO P</w:t>
      </w:r>
      <w:r w:rsidR="00FF2B60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ARA 2021-2022.</w:t>
      </w:r>
    </w:p>
    <w:p w:rsidR="00FF2B60" w:rsidRPr="00B12F2B" w:rsidRDefault="00FF2B60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FF2B60">
        <w:rPr>
          <w:rFonts w:eastAsia="Times New Roman" w:cstheme="minorHAnsi"/>
          <w:color w:val="1D2228"/>
          <w:sz w:val="24"/>
          <w:szCs w:val="24"/>
          <w:lang w:eastAsia="es-AR"/>
        </w:rPr>
        <w:t xml:space="preserve">Análisis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y desarrollo de Sistemas de Control Integrado de </w:t>
      </w:r>
      <w:r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Aedes aegypti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con énfasis en el uso de sistemas de control amigables con el medio ambiente, como el uso de TIE o de </w:t>
      </w:r>
      <w:r w:rsidR="00B12F2B"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la Técnica del Insecto Incompatible </w:t>
      </w:r>
      <w:r w:rsidR="00B12F2B" w:rsidRPr="007A1DC8">
        <w:rPr>
          <w:rFonts w:eastAsia="Times New Roman" w:cstheme="minorHAnsi"/>
          <w:color w:val="1D2228"/>
          <w:sz w:val="24"/>
          <w:szCs w:val="24"/>
          <w:lang w:eastAsia="es-AR"/>
        </w:rPr>
        <w:t xml:space="preserve">“TII” </w:t>
      </w:r>
      <w:r w:rsidR="00B12F2B" w:rsidRPr="007A1DC8">
        <w:rPr>
          <w:rFonts w:eastAsia="Times New Roman" w:cstheme="minorHAnsi"/>
          <w:color w:val="1D2228"/>
          <w:sz w:val="24"/>
          <w:szCs w:val="24"/>
          <w:lang w:eastAsia="es-AR"/>
        </w:rPr>
        <w:t>(Wolbachia</w:t>
      </w:r>
      <w:r w:rsidR="00B12F2B" w:rsidRPr="00B12F2B">
        <w:rPr>
          <w:rFonts w:cstheme="minorHAnsi"/>
          <w:bCs/>
          <w:color w:val="000000" w:themeColor="text1"/>
          <w:sz w:val="24"/>
          <w:szCs w:val="24"/>
        </w:rPr>
        <w:t xml:space="preserve"> sp)</w:t>
      </w:r>
      <w:r w:rsidR="007A1DC8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="007A1DC8">
        <w:rPr>
          <w:rFonts w:cstheme="minorHAnsi"/>
          <w:b/>
          <w:bCs/>
          <w:color w:val="000000" w:themeColor="text1"/>
          <w:sz w:val="24"/>
          <w:szCs w:val="24"/>
        </w:rPr>
        <w:t>PROGRAMADO PARA 2022.</w:t>
      </w:r>
    </w:p>
    <w:p w:rsidR="00623AB6" w:rsidRPr="00772E4E" w:rsidRDefault="00623AB6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</w:pPr>
      <w:r w:rsidRPr="00772E4E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Resultados obtenidos</w:t>
      </w:r>
    </w:p>
    <w:p w:rsidR="00623AB6" w:rsidRDefault="00623AB6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Se ha logrado establecer metodologías</w:t>
      </w:r>
      <w:r w:rsidR="00B12F2B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y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procedimientos de cría</w:t>
      </w:r>
      <w:r w:rsidR="00B12F2B">
        <w:rPr>
          <w:rFonts w:eastAsia="Times New Roman" w:cstheme="minorHAnsi"/>
          <w:color w:val="1D2228"/>
          <w:sz w:val="24"/>
          <w:szCs w:val="24"/>
          <w:lang w:eastAsia="es-AR"/>
        </w:rPr>
        <w:t xml:space="preserve">. Sin embargo se requiere el desarrollo de 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B12F2B">
        <w:rPr>
          <w:rFonts w:eastAsia="Times New Roman" w:cstheme="minorHAnsi"/>
          <w:color w:val="1D2228"/>
          <w:sz w:val="24"/>
          <w:szCs w:val="24"/>
          <w:lang w:eastAsia="es-AR"/>
        </w:rPr>
        <w:t>un sistema de separación de sexos eficiente para la cría masiva.</w:t>
      </w:r>
    </w:p>
    <w:p w:rsidR="00FE0A94" w:rsidRDefault="00FE0A94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FE0A94">
        <w:rPr>
          <w:rFonts w:eastAsia="Times New Roman" w:cstheme="minorHAnsi"/>
          <w:color w:val="1D2228"/>
          <w:sz w:val="24"/>
          <w:szCs w:val="24"/>
          <w:u w:val="single"/>
          <w:lang w:eastAsia="es-AR"/>
        </w:rPr>
        <w:t>Proyecciones para el próximo año 2021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 (en tanto se levanten las restricciones por Covid19)</w:t>
      </w:r>
    </w:p>
    <w:p w:rsidR="00FE0A94" w:rsidRPr="007A1DC8" w:rsidRDefault="00FE0A94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b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Incorporación de la cepa silvestre de Mendoza, de </w:t>
      </w:r>
      <w:r w:rsidRPr="007A1DC8">
        <w:rPr>
          <w:rFonts w:eastAsia="Times New Roman" w:cstheme="minorHAnsi"/>
          <w:color w:val="1D2228"/>
          <w:sz w:val="24"/>
          <w:szCs w:val="24"/>
          <w:lang w:eastAsia="es-AR"/>
        </w:rPr>
        <w:t>Aedes aegypti</w:t>
      </w:r>
      <w:r w:rsidRPr="00FE0A94">
        <w:rPr>
          <w:rFonts w:eastAsia="Times New Roman" w:cstheme="minorHAnsi"/>
          <w:color w:val="1D2228"/>
          <w:sz w:val="24"/>
          <w:szCs w:val="24"/>
          <w:lang w:eastAsia="es-AR"/>
        </w:rPr>
        <w:t xml:space="preserve">. </w:t>
      </w: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Enero 2021 en adelante.</w:t>
      </w:r>
    </w:p>
    <w:p w:rsidR="00FE0A94" w:rsidRDefault="00FE0A94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Expandir la colonia cepa Mendoza</w:t>
      </w: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. Enero de 2021 en adelante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FE0A94" w:rsidRPr="007A1DC8" w:rsidRDefault="00FE0A94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b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Desarrollar un sistema de separación de sexos eficiente</w:t>
      </w: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. Marzo de 2021 en adelante.</w:t>
      </w:r>
    </w:p>
    <w:p w:rsidR="00A5770D" w:rsidRDefault="00FE0A94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Desarrollo de empaque y liberación terrestre y en drones de mosquitos estériles. </w:t>
      </w:r>
      <w:r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Marzo de 2021 en adelante</w:t>
      </w:r>
      <w:r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A5770D" w:rsidRDefault="00A5770D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lastRenderedPageBreak/>
        <w:t>Establecimiento de un ensayo piloto de TIE en zonas urbanas seleccionadas de la Provincia de Mendoza (Guaymallén – Lavalle)</w:t>
      </w:r>
    </w:p>
    <w:p w:rsidR="00FE0A94" w:rsidRPr="00A5770D" w:rsidRDefault="00FE0A94" w:rsidP="007A1D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1D2228"/>
          <w:sz w:val="24"/>
          <w:szCs w:val="24"/>
          <w:lang w:eastAsia="es-AR"/>
        </w:rPr>
      </w:pPr>
      <w:r w:rsidRPr="00A5770D">
        <w:rPr>
          <w:rFonts w:eastAsia="Times New Roman" w:cstheme="minorHAnsi"/>
          <w:color w:val="1D2228"/>
          <w:sz w:val="24"/>
          <w:szCs w:val="24"/>
          <w:lang w:eastAsia="es-AR"/>
        </w:rPr>
        <w:t>Evaluación de la calidad de los insectos criados a laboratorio y silvestres: enero 2021 en adelante.</w:t>
      </w:r>
    </w:p>
    <w:p w:rsidR="006F24E1" w:rsidRPr="007A1DC8" w:rsidRDefault="00B76E2E" w:rsidP="007A1DC8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ind w:left="851"/>
        <w:rPr>
          <w:rFonts w:eastAsia="Times New Roman" w:cstheme="minorHAnsi"/>
          <w:b/>
          <w:color w:val="1D2228"/>
          <w:sz w:val="24"/>
          <w:szCs w:val="24"/>
          <w:u w:val="single"/>
          <w:lang w:eastAsia="es-AR"/>
        </w:rPr>
      </w:pPr>
      <w:r w:rsidRPr="007A1DC8">
        <w:rPr>
          <w:rFonts w:eastAsia="Times New Roman" w:cstheme="minorHAnsi"/>
          <w:b/>
          <w:color w:val="1D2228"/>
          <w:sz w:val="24"/>
          <w:szCs w:val="24"/>
          <w:u w:val="single"/>
          <w:lang w:eastAsia="es-AR"/>
        </w:rPr>
        <w:t>Operaciones de campo</w:t>
      </w:r>
    </w:p>
    <w:p w:rsidR="00B76E2E" w:rsidRDefault="00B76E2E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Verificación de movilidad de la plaga entre Oasis de baja prevalencia y Oasis libres.</w:t>
      </w:r>
      <w:r w:rsidR="00623AB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623AB6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</w:t>
      </w:r>
    </w:p>
    <w:p w:rsidR="00B76E2E" w:rsidRDefault="00B76E2E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Verificación de sensibilidad de sensibilidad de uva de vinificar como hospedero de mosca de los frutos.</w:t>
      </w:r>
      <w:r w:rsidR="00623AB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623AB6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Planificado a partir de Enero 2021</w:t>
      </w:r>
      <w:r w:rsidR="00623AB6" w:rsidRPr="007A1DC8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B76E2E" w:rsidRDefault="00B76E2E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 xml:space="preserve">Validación de </w:t>
      </w:r>
      <w:r w:rsidR="003C43B3">
        <w:rPr>
          <w:rFonts w:eastAsia="Times New Roman" w:cstheme="minorHAnsi"/>
          <w:color w:val="1D2228"/>
          <w:sz w:val="24"/>
          <w:szCs w:val="24"/>
          <w:lang w:eastAsia="es-AR"/>
        </w:rPr>
        <w:t>insecticidas cebo Anamed® como producto controlador de mosca de los frutos.</w:t>
      </w:r>
      <w:r w:rsidR="00623AB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623AB6" w:rsidRP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Planificado a partir de Febrero 2021</w:t>
      </w:r>
      <w:r w:rsidR="00623AB6" w:rsidRPr="007A1DC8">
        <w:rPr>
          <w:rFonts w:eastAsia="Times New Roman" w:cstheme="minorHAnsi"/>
          <w:color w:val="1D2228"/>
          <w:sz w:val="24"/>
          <w:szCs w:val="24"/>
          <w:lang w:eastAsia="es-AR"/>
        </w:rPr>
        <w:t>.</w:t>
      </w:r>
    </w:p>
    <w:p w:rsidR="00537F40" w:rsidRPr="00623AB6" w:rsidRDefault="003C43B3" w:rsidP="007A1DC8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360" w:lineRule="auto"/>
        <w:ind w:left="1134"/>
        <w:rPr>
          <w:rFonts w:eastAsia="Times New Roman" w:cstheme="minorHAnsi"/>
          <w:color w:val="1D2228"/>
          <w:sz w:val="24"/>
          <w:szCs w:val="24"/>
          <w:lang w:eastAsia="es-AR"/>
        </w:rPr>
      </w:pPr>
      <w:r>
        <w:rPr>
          <w:rFonts w:eastAsia="Times New Roman" w:cstheme="minorHAnsi"/>
          <w:color w:val="1D2228"/>
          <w:sz w:val="24"/>
          <w:szCs w:val="24"/>
          <w:lang w:eastAsia="es-AR"/>
        </w:rPr>
        <w:t>Validación de estaciones cebo como sistema de control de  mosca de los frutos.</w:t>
      </w:r>
      <w:r w:rsidR="00623AB6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A5770D" w:rsidRPr="00A5770D">
        <w:rPr>
          <w:rFonts w:eastAsia="Times New Roman" w:cstheme="minorHAnsi"/>
          <w:b/>
          <w:color w:val="1D2228"/>
          <w:sz w:val="24"/>
          <w:szCs w:val="24"/>
          <w:lang w:eastAsia="es-AR"/>
        </w:rPr>
        <w:t>COMPLETADO</w:t>
      </w:r>
      <w:r w:rsidR="00A5770D">
        <w:rPr>
          <w:rFonts w:eastAsia="Times New Roman" w:cstheme="minorHAnsi"/>
          <w:color w:val="1D2228"/>
          <w:sz w:val="24"/>
          <w:szCs w:val="24"/>
          <w:lang w:eastAsia="es-AR"/>
        </w:rPr>
        <w:t xml:space="preserve"> </w:t>
      </w:r>
      <w:r w:rsidR="00A5770D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LA PRIMERA EVALUACION </w:t>
      </w:r>
      <w:r w:rsid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 xml:space="preserve">y </w:t>
      </w:r>
      <w:r w:rsidR="007A1DC8" w:rsidRPr="00623AB6">
        <w:rPr>
          <w:rFonts w:eastAsia="Times New Roman" w:cstheme="minorHAnsi"/>
          <w:b/>
          <w:color w:val="1D2228"/>
          <w:sz w:val="24"/>
          <w:szCs w:val="24"/>
          <w:lang w:eastAsia="es-AR"/>
        </w:rPr>
        <w:t>planificad</w:t>
      </w:r>
      <w:r w:rsidR="007A1DC8">
        <w:rPr>
          <w:rFonts w:eastAsia="Times New Roman" w:cstheme="minorHAnsi"/>
          <w:b/>
          <w:color w:val="1D2228"/>
          <w:sz w:val="24"/>
          <w:szCs w:val="24"/>
          <w:lang w:eastAsia="es-AR"/>
        </w:rPr>
        <w:t>o a partir de setiembre de 2021 la segunda etapa de evaluación.</w:t>
      </w:r>
    </w:p>
    <w:sectPr w:rsidR="00537F40" w:rsidRPr="00623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4B9E"/>
    <w:multiLevelType w:val="multilevel"/>
    <w:tmpl w:val="4BA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11C79"/>
    <w:multiLevelType w:val="hybridMultilevel"/>
    <w:tmpl w:val="FF26F8A0"/>
    <w:lvl w:ilvl="0" w:tplc="B0FE8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7540B"/>
    <w:multiLevelType w:val="hybridMultilevel"/>
    <w:tmpl w:val="75CE01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541BAC"/>
    <w:multiLevelType w:val="hybridMultilevel"/>
    <w:tmpl w:val="2F1A7782"/>
    <w:lvl w:ilvl="0" w:tplc="461C1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F31C7"/>
    <w:multiLevelType w:val="hybridMultilevel"/>
    <w:tmpl w:val="B1383816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FAD63C5"/>
    <w:multiLevelType w:val="hybridMultilevel"/>
    <w:tmpl w:val="100AAA0E"/>
    <w:lvl w:ilvl="0" w:tplc="2C0A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EC"/>
    <w:rsid w:val="000115CF"/>
    <w:rsid w:val="00041180"/>
    <w:rsid w:val="00104CDD"/>
    <w:rsid w:val="00105F06"/>
    <w:rsid w:val="00163D52"/>
    <w:rsid w:val="001A52A3"/>
    <w:rsid w:val="002B69D0"/>
    <w:rsid w:val="002D5B10"/>
    <w:rsid w:val="00311C46"/>
    <w:rsid w:val="003C43B3"/>
    <w:rsid w:val="004B3772"/>
    <w:rsid w:val="00537F40"/>
    <w:rsid w:val="00623AB6"/>
    <w:rsid w:val="00631685"/>
    <w:rsid w:val="006F24E1"/>
    <w:rsid w:val="00705C6D"/>
    <w:rsid w:val="00711DB2"/>
    <w:rsid w:val="00772E4E"/>
    <w:rsid w:val="007A1DC8"/>
    <w:rsid w:val="00841B2B"/>
    <w:rsid w:val="008C1076"/>
    <w:rsid w:val="00967065"/>
    <w:rsid w:val="00A507BD"/>
    <w:rsid w:val="00A5770D"/>
    <w:rsid w:val="00A63115"/>
    <w:rsid w:val="00A64637"/>
    <w:rsid w:val="00AA3FC8"/>
    <w:rsid w:val="00B12F2B"/>
    <w:rsid w:val="00B25C10"/>
    <w:rsid w:val="00B26AFD"/>
    <w:rsid w:val="00B76E2E"/>
    <w:rsid w:val="00D414FA"/>
    <w:rsid w:val="00DB71CA"/>
    <w:rsid w:val="00DF52D3"/>
    <w:rsid w:val="00E15F41"/>
    <w:rsid w:val="00E51DC8"/>
    <w:rsid w:val="00ED41F3"/>
    <w:rsid w:val="00FD4055"/>
    <w:rsid w:val="00FE0A94"/>
    <w:rsid w:val="00FE1AEC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9666A4-7901-4D02-9F90-BFB126FF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EC"/>
    <w:pPr>
      <w:ind w:left="720"/>
      <w:contextualSpacing/>
    </w:pPr>
  </w:style>
  <w:style w:type="table" w:styleId="TableGrid">
    <w:name w:val="Table Grid"/>
    <w:basedOn w:val="TableNormal"/>
    <w:uiPriority w:val="39"/>
    <w:rsid w:val="00A6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2B6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8</Pages>
  <Words>1954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TARET</dc:creator>
  <cp:keywords/>
  <dc:description/>
  <cp:lastModifiedBy>GUSTAVO TARET</cp:lastModifiedBy>
  <cp:revision>20</cp:revision>
  <dcterms:created xsi:type="dcterms:W3CDTF">2020-12-21T13:02:00Z</dcterms:created>
  <dcterms:modified xsi:type="dcterms:W3CDTF">2020-12-23T15:53:00Z</dcterms:modified>
</cp:coreProperties>
</file>